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A8" w:rsidRPr="005D58CC" w:rsidRDefault="00E5407B" w:rsidP="008E5F0C">
      <w:pPr>
        <w:pStyle w:val="Body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8CC">
        <w:rPr>
          <w:rFonts w:ascii="Times New Roman" w:hAnsi="Times New Roman" w:cs="Times New Roman"/>
          <w:b/>
          <w:bCs/>
          <w:sz w:val="24"/>
          <w:szCs w:val="24"/>
        </w:rPr>
        <w:t>ФИНАНСОВО-ЭКОНОМИЧЕСКОЕ</w:t>
      </w:r>
      <w:r w:rsidR="00FD61D5" w:rsidRPr="005D58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58CC">
        <w:rPr>
          <w:rFonts w:ascii="Times New Roman" w:hAnsi="Times New Roman" w:cs="Times New Roman"/>
          <w:b/>
          <w:bCs/>
          <w:sz w:val="24"/>
          <w:szCs w:val="24"/>
        </w:rPr>
        <w:t>ОБОСНОВАНИЕ</w:t>
      </w:r>
    </w:p>
    <w:p w:rsidR="008E5F0C" w:rsidRPr="005D58CC" w:rsidRDefault="00FD61D5" w:rsidP="00FD61D5">
      <w:pPr>
        <w:pStyle w:val="Body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8CC">
        <w:rPr>
          <w:rFonts w:ascii="Times New Roman" w:hAnsi="Times New Roman" w:cs="Times New Roman"/>
          <w:b/>
          <w:bCs/>
          <w:sz w:val="24"/>
          <w:szCs w:val="24"/>
        </w:rPr>
        <w:t xml:space="preserve">Приходно-расходной сметы </w:t>
      </w:r>
      <w:r w:rsidR="00E5407B" w:rsidRPr="005D58CC">
        <w:rPr>
          <w:rFonts w:ascii="Times New Roman" w:hAnsi="Times New Roman" w:cs="Times New Roman"/>
          <w:b/>
          <w:bCs/>
          <w:sz w:val="24"/>
          <w:szCs w:val="24"/>
        </w:rPr>
        <w:t>СНТ "</w:t>
      </w:r>
      <w:r w:rsidRPr="005D58CC">
        <w:rPr>
          <w:rFonts w:ascii="Times New Roman" w:hAnsi="Times New Roman" w:cs="Times New Roman"/>
          <w:b/>
          <w:bCs/>
          <w:sz w:val="24"/>
          <w:szCs w:val="24"/>
        </w:rPr>
        <w:t>Возрождение</w:t>
      </w:r>
      <w:r w:rsidR="00E5407B" w:rsidRPr="005D58CC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B62BA6" w:rsidRPr="005D58CC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74313B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B663D5">
        <w:rPr>
          <w:rFonts w:ascii="Times New Roman" w:hAnsi="Times New Roman" w:cs="Times New Roman"/>
          <w:b/>
          <w:bCs/>
          <w:sz w:val="24"/>
          <w:szCs w:val="24"/>
        </w:rPr>
        <w:t xml:space="preserve"> и 2025</w:t>
      </w:r>
      <w:r w:rsidR="00E5407B" w:rsidRPr="005D58CC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5D58CC"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:rsidR="00FD61D5" w:rsidRPr="005D58CC" w:rsidRDefault="00B62BA6" w:rsidP="008E5F0C">
      <w:pPr>
        <w:pStyle w:val="Body"/>
        <w:spacing w:after="3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8CC">
        <w:rPr>
          <w:rFonts w:ascii="Times New Roman" w:hAnsi="Times New Roman" w:cs="Times New Roman"/>
          <w:b/>
          <w:bCs/>
          <w:sz w:val="24"/>
          <w:szCs w:val="24"/>
        </w:rPr>
        <w:t xml:space="preserve">Членские взносы на </w:t>
      </w:r>
      <w:r w:rsidR="0074313B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B663D5">
        <w:rPr>
          <w:rFonts w:ascii="Times New Roman" w:hAnsi="Times New Roman" w:cs="Times New Roman"/>
          <w:b/>
          <w:bCs/>
          <w:sz w:val="24"/>
          <w:szCs w:val="24"/>
        </w:rPr>
        <w:t xml:space="preserve"> и 2025</w:t>
      </w:r>
      <w:r w:rsidR="00FD61D5" w:rsidRPr="005D58CC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плата для лиц, н</w:t>
      </w:r>
      <w:r w:rsidR="005D58CC" w:rsidRPr="005D58CC">
        <w:rPr>
          <w:rFonts w:ascii="Times New Roman" w:hAnsi="Times New Roman" w:cs="Times New Roman"/>
          <w:b/>
          <w:bCs/>
          <w:sz w:val="24"/>
          <w:szCs w:val="24"/>
        </w:rPr>
        <w:t>е вступивших в состав членов Товарищества</w:t>
      </w:r>
    </w:p>
    <w:p w:rsidR="00AB17A8" w:rsidRPr="005D58CC" w:rsidRDefault="00E5407B" w:rsidP="008E5F0C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8CC">
        <w:rPr>
          <w:rFonts w:ascii="Times New Roman" w:hAnsi="Times New Roman" w:cs="Times New Roman"/>
          <w:sz w:val="24"/>
          <w:szCs w:val="24"/>
        </w:rPr>
        <w:t>В предлагаемой на рассмотрение общего собрания смете учтены реальные расходы товарищества за прошедший отч</w:t>
      </w:r>
      <w:r w:rsidR="00FD61D5" w:rsidRPr="005D58CC">
        <w:rPr>
          <w:rFonts w:ascii="Times New Roman" w:hAnsi="Times New Roman" w:cs="Times New Roman"/>
          <w:sz w:val="24"/>
          <w:szCs w:val="24"/>
        </w:rPr>
        <w:t>ё</w:t>
      </w:r>
      <w:r w:rsidRPr="005D58CC">
        <w:rPr>
          <w:rFonts w:ascii="Times New Roman" w:hAnsi="Times New Roman" w:cs="Times New Roman"/>
          <w:sz w:val="24"/>
          <w:szCs w:val="24"/>
        </w:rPr>
        <w:t>тный период и возможные затраты в будущем году.</w:t>
      </w:r>
    </w:p>
    <w:p w:rsidR="00546ADB" w:rsidRDefault="00546ADB" w:rsidP="00546ADB">
      <w:pPr>
        <w:ind w:firstLine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Предлагается установить членский взнос сроком на один календарный год.</w:t>
      </w:r>
    </w:p>
    <w:p w:rsidR="005D58CC" w:rsidRDefault="007A2031" w:rsidP="00931426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D58CC" w:rsidRPr="005D58CC">
        <w:rPr>
          <w:rFonts w:ascii="Times New Roman" w:hAnsi="Times New Roman" w:cs="Times New Roman"/>
          <w:sz w:val="24"/>
          <w:szCs w:val="24"/>
        </w:rPr>
        <w:t xml:space="preserve"> 2023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D58CC" w:rsidRPr="005D5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="005D58CC" w:rsidRPr="005D58CC">
        <w:rPr>
          <w:rFonts w:ascii="Times New Roman" w:hAnsi="Times New Roman" w:cs="Times New Roman"/>
          <w:sz w:val="24"/>
          <w:szCs w:val="24"/>
        </w:rPr>
        <w:t xml:space="preserve">увеличение расходов СНТ по причине удорожания </w:t>
      </w:r>
      <w:r w:rsidRPr="005D58CC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58CC">
        <w:rPr>
          <w:rFonts w:ascii="Times New Roman" w:hAnsi="Times New Roman" w:cs="Times New Roman"/>
          <w:sz w:val="24"/>
          <w:szCs w:val="24"/>
        </w:rPr>
        <w:t xml:space="preserve"> </w:t>
      </w:r>
      <w:r w:rsidR="005D58CC" w:rsidRPr="005D58CC">
        <w:rPr>
          <w:rFonts w:ascii="Times New Roman" w:hAnsi="Times New Roman" w:cs="Times New Roman"/>
          <w:sz w:val="24"/>
          <w:szCs w:val="24"/>
        </w:rPr>
        <w:t>предоставляемых сторонними организациями.</w:t>
      </w:r>
    </w:p>
    <w:p w:rsidR="00546ADB" w:rsidRPr="00546ADB" w:rsidRDefault="00546ADB" w:rsidP="00546ADB">
      <w:pPr>
        <w:ind w:firstLine="567"/>
        <w:jc w:val="both"/>
        <w:rPr>
          <w:color w:val="000000"/>
          <w:lang w:val="ru-RU" w:eastAsia="ru-RU"/>
        </w:rPr>
      </w:pPr>
      <w:r w:rsidRPr="00546ADB">
        <w:rPr>
          <w:color w:val="000000"/>
          <w:lang w:val="ru-RU" w:eastAsia="ru-RU"/>
        </w:rPr>
        <w:t>Смета 202</w:t>
      </w:r>
      <w:r>
        <w:rPr>
          <w:color w:val="000000"/>
          <w:lang w:val="ru-RU" w:eastAsia="ru-RU"/>
        </w:rPr>
        <w:t>4</w:t>
      </w:r>
      <w:r w:rsidR="00B663D5">
        <w:rPr>
          <w:color w:val="000000"/>
          <w:lang w:val="ru-RU" w:eastAsia="ru-RU"/>
        </w:rPr>
        <w:t xml:space="preserve"> и 2025</w:t>
      </w:r>
      <w:r w:rsidRPr="00546ADB">
        <w:rPr>
          <w:color w:val="000000"/>
          <w:lang w:val="ru-RU" w:eastAsia="ru-RU"/>
        </w:rPr>
        <w:t xml:space="preserve"> года рассчитана </w:t>
      </w:r>
      <w:proofErr w:type="gramStart"/>
      <w:r w:rsidRPr="00546ADB">
        <w:rPr>
          <w:color w:val="000000"/>
          <w:lang w:val="ru-RU" w:eastAsia="ru-RU"/>
        </w:rPr>
        <w:t>исходя из минимально необходимых расходов, с тем, чтобы взнос оставался</w:t>
      </w:r>
      <w:proofErr w:type="gramEnd"/>
      <w:r w:rsidRPr="00546ADB">
        <w:rPr>
          <w:color w:val="000000"/>
          <w:lang w:val="ru-RU" w:eastAsia="ru-RU"/>
        </w:rPr>
        <w:t xml:space="preserve"> низким. </w:t>
      </w:r>
    </w:p>
    <w:p w:rsidR="005E272F" w:rsidRDefault="005E272F" w:rsidP="005E272F">
      <w:pPr>
        <w:pStyle w:val="aa"/>
        <w:spacing w:after="0" w:line="240" w:lineRule="auto"/>
        <w:ind w:left="9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272F" w:rsidRDefault="006602E0" w:rsidP="00546ADB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>
        <w:rPr>
          <w:lang w:val="ru-RU"/>
        </w:rPr>
        <w:t>В</w:t>
      </w:r>
      <w:r w:rsidRPr="006602E0">
        <w:rPr>
          <w:lang w:val="ru-RU"/>
        </w:rPr>
        <w:t xml:space="preserve"> соответствии с действующим законодательством </w:t>
      </w:r>
      <w:r w:rsidR="00EC334C" w:rsidRPr="00EC334C">
        <w:rPr>
          <w:lang w:val="ru-RU"/>
        </w:rPr>
        <w:t>(</w:t>
      </w:r>
      <w:r w:rsidR="009B3257">
        <w:rPr>
          <w:lang w:val="ru-RU"/>
        </w:rPr>
        <w:t xml:space="preserve">в том числе </w:t>
      </w:r>
      <w:r w:rsidR="00EC334C" w:rsidRPr="00EC334C">
        <w:rPr>
          <w:bCs/>
          <w:lang w:val="ru-RU"/>
        </w:rPr>
        <w:t>системным толкованием и взаимосвязью п. п. 5, 6 ч. 1 ст. 3, ч. ч. 1, 2 ст. 25, ч. 16 ст. 54 Закона, ч. 1 ст. 259.1, ч. 1 ст. 259.2 и ч.3 ст. 259.3 ГК РФ)</w:t>
      </w:r>
      <w:r w:rsidR="00EC334C">
        <w:rPr>
          <w:bCs/>
          <w:lang w:val="ru-RU"/>
        </w:rPr>
        <w:t xml:space="preserve">, </w:t>
      </w:r>
      <w:r w:rsidR="00D7036D">
        <w:rPr>
          <w:bCs/>
          <w:lang w:val="ru-RU"/>
        </w:rPr>
        <w:t xml:space="preserve">в 2024 году </w:t>
      </w:r>
      <w:r w:rsidR="00546ADB">
        <w:rPr>
          <w:lang w:val="ru-RU"/>
        </w:rPr>
        <w:t>применяется следующий</w:t>
      </w:r>
      <w:r w:rsidR="00546ADB" w:rsidRPr="006602E0">
        <w:rPr>
          <w:lang w:val="ru-RU"/>
        </w:rPr>
        <w:t xml:space="preserve"> </w:t>
      </w:r>
      <w:r w:rsidR="00D7036D">
        <w:rPr>
          <w:lang w:val="ru-RU"/>
        </w:rPr>
        <w:t>порядок расчётов</w:t>
      </w:r>
      <w:r>
        <w:rPr>
          <w:lang w:val="ru-RU"/>
        </w:rPr>
        <w:t>:</w:t>
      </w:r>
    </w:p>
    <w:p w:rsidR="00EC334C" w:rsidRDefault="00EC334C" w:rsidP="00546ADB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</w:p>
    <w:p w:rsidR="005E272F" w:rsidRPr="005E272F" w:rsidRDefault="005E272F" w:rsidP="00546ADB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 w:rsidRPr="005E272F">
        <w:rPr>
          <w:lang w:val="ru-RU"/>
        </w:rPr>
        <w:t xml:space="preserve">Размер членского взноса, подлежащего уплате каждым членом </w:t>
      </w:r>
      <w:r w:rsidR="00F05015">
        <w:rPr>
          <w:lang w:val="ru-RU"/>
        </w:rPr>
        <w:t>СНТ</w:t>
      </w:r>
      <w:r w:rsidRPr="005E272F">
        <w:rPr>
          <w:lang w:val="ru-RU"/>
        </w:rPr>
        <w:t>, определяется как сумма показателей</w:t>
      </w:r>
      <w:r w:rsidRPr="005E272F">
        <w:rPr>
          <w:b/>
          <w:lang w:val="ru-RU"/>
        </w:rPr>
        <w:t xml:space="preserve"> «ЧВ-1»</w:t>
      </w:r>
      <w:r w:rsidRPr="005E272F">
        <w:rPr>
          <w:lang w:val="ru-RU"/>
        </w:rPr>
        <w:t xml:space="preserve"> и </w:t>
      </w:r>
      <w:r w:rsidRPr="005E272F">
        <w:rPr>
          <w:b/>
          <w:lang w:val="ru-RU"/>
        </w:rPr>
        <w:t>«ЧВ-2»</w:t>
      </w:r>
      <w:r w:rsidRPr="005E272F">
        <w:rPr>
          <w:lang w:val="ru-RU"/>
        </w:rPr>
        <w:t xml:space="preserve">, где: </w:t>
      </w:r>
    </w:p>
    <w:p w:rsidR="005E272F" w:rsidRPr="005E272F" w:rsidRDefault="005E272F" w:rsidP="005E272F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 w:rsidRPr="005E272F">
        <w:rPr>
          <w:b/>
          <w:lang w:val="ru-RU"/>
        </w:rPr>
        <w:t>а)</w:t>
      </w:r>
      <w:r w:rsidRPr="005E272F">
        <w:rPr>
          <w:lang w:val="ru-RU"/>
        </w:rPr>
        <w:t xml:space="preserve"> </w:t>
      </w:r>
      <w:r w:rsidR="009B3257">
        <w:rPr>
          <w:lang w:val="ru-RU"/>
        </w:rPr>
        <w:t xml:space="preserve">показатель </w:t>
      </w:r>
      <w:r w:rsidRPr="009B3257">
        <w:rPr>
          <w:b/>
          <w:lang w:val="ru-RU"/>
        </w:rPr>
        <w:t>«ЧВ-1»</w:t>
      </w:r>
      <w:r w:rsidRPr="005E272F">
        <w:rPr>
          <w:lang w:val="ru-RU"/>
        </w:rPr>
        <w:t xml:space="preserve"> является частным от деления общей суммы размера взносов, утверждённой общим собранием членов Товарищества, </w:t>
      </w:r>
      <w:r w:rsidRPr="005E272F">
        <w:rPr>
          <w:b/>
          <w:lang w:val="ru-RU"/>
        </w:rPr>
        <w:t>не являющихся расходами и издержками по содержанию и сохранению общего имущества</w:t>
      </w:r>
      <w:r w:rsidRPr="005E272F">
        <w:rPr>
          <w:bCs/>
          <w:lang w:val="ru-RU"/>
        </w:rPr>
        <w:t xml:space="preserve"> </w:t>
      </w:r>
      <w:r w:rsidRPr="005E272F">
        <w:rPr>
          <w:b/>
          <w:bCs/>
          <w:lang w:val="ru-RU"/>
        </w:rPr>
        <w:t>и имущества общего пользования</w:t>
      </w:r>
      <w:r w:rsidRPr="005E272F">
        <w:rPr>
          <w:b/>
          <w:lang w:val="ru-RU"/>
        </w:rPr>
        <w:t xml:space="preserve"> </w:t>
      </w:r>
      <w:r w:rsidRPr="005E272F">
        <w:rPr>
          <w:lang w:val="ru-RU"/>
        </w:rPr>
        <w:t>(взнос</w:t>
      </w:r>
      <w:r w:rsidR="009B3257">
        <w:rPr>
          <w:lang w:val="ru-RU"/>
        </w:rPr>
        <w:t xml:space="preserve"> на оплату коммунальных услуг, </w:t>
      </w:r>
      <w:r w:rsidRPr="005E272F">
        <w:rPr>
          <w:lang w:val="ru-RU"/>
        </w:rPr>
        <w:t>Т</w:t>
      </w:r>
      <w:r w:rsidR="009B3257">
        <w:rPr>
          <w:lang w:val="ru-RU"/>
        </w:rPr>
        <w:t>К</w:t>
      </w:r>
      <w:r w:rsidRPr="005E272F">
        <w:rPr>
          <w:lang w:val="ru-RU"/>
        </w:rPr>
        <w:t xml:space="preserve">О, аудит, юридические услуги, </w:t>
      </w:r>
      <w:r w:rsidR="009B3257">
        <w:rPr>
          <w:lang w:val="ru-RU"/>
        </w:rPr>
        <w:t>интернет-</w:t>
      </w:r>
      <w:r w:rsidRPr="005E272F">
        <w:rPr>
          <w:lang w:val="ru-RU"/>
        </w:rPr>
        <w:t>сайт, резервный фонд, ФОТ, проведение ОС и т.п.), на общее количество садовых земельных участков, имеющих индивидуальные кадастровые номера, и рассчитывается по формуле:</w:t>
      </w:r>
    </w:p>
    <w:p w:rsidR="005E272F" w:rsidRPr="005E272F" w:rsidRDefault="005E272F" w:rsidP="005E272F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 w:rsidRPr="005E272F">
        <w:rPr>
          <w:b/>
          <w:lang w:val="ru-RU"/>
        </w:rPr>
        <w:t>«ЧВ-1»</w:t>
      </w:r>
      <w:r w:rsidRPr="005E272F">
        <w:rPr>
          <w:lang w:val="ru-RU"/>
        </w:rPr>
        <w:t xml:space="preserve"> </w:t>
      </w:r>
      <w:r w:rsidRPr="005E272F">
        <w:rPr>
          <w:b/>
          <w:lang w:val="ru-RU"/>
        </w:rPr>
        <w:t>=</w:t>
      </w:r>
      <w:r w:rsidRPr="005E272F">
        <w:rPr>
          <w:lang w:val="ru-RU"/>
        </w:rPr>
        <w:t xml:space="preserve"> </w:t>
      </w:r>
      <w:r w:rsidRPr="005E272F">
        <w:rPr>
          <w:b/>
          <w:lang w:val="ru-RU"/>
        </w:rPr>
        <w:t>«Сумм.»</w:t>
      </w:r>
      <w:r w:rsidRPr="005E272F">
        <w:rPr>
          <w:lang w:val="ru-RU"/>
        </w:rPr>
        <w:t xml:space="preserve"> </w:t>
      </w:r>
      <w:r w:rsidRPr="005E272F">
        <w:rPr>
          <w:b/>
          <w:lang w:val="ru-RU"/>
        </w:rPr>
        <w:t>/</w:t>
      </w:r>
      <w:r w:rsidRPr="005E272F">
        <w:rPr>
          <w:lang w:val="ru-RU"/>
        </w:rPr>
        <w:t xml:space="preserve"> </w:t>
      </w:r>
      <w:r w:rsidRPr="005E272F">
        <w:rPr>
          <w:b/>
          <w:lang w:val="ru-RU"/>
        </w:rPr>
        <w:t>«Уч.»</w:t>
      </w:r>
    </w:p>
    <w:p w:rsidR="005E272F" w:rsidRPr="005E272F" w:rsidRDefault="005E272F" w:rsidP="005E272F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 w:rsidRPr="005E272F">
        <w:rPr>
          <w:lang w:val="ru-RU"/>
        </w:rPr>
        <w:t>где</w:t>
      </w:r>
    </w:p>
    <w:p w:rsidR="005E272F" w:rsidRPr="005E272F" w:rsidRDefault="005E272F" w:rsidP="005E272F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 w:rsidRPr="005E272F">
        <w:rPr>
          <w:b/>
          <w:lang w:val="ru-RU"/>
        </w:rPr>
        <w:t>«ЧВ-1»</w:t>
      </w:r>
      <w:r w:rsidRPr="005E272F">
        <w:rPr>
          <w:lang w:val="ru-RU"/>
        </w:rPr>
        <w:t xml:space="preserve"> – размер части членского взноса, не являющегося расходами и издержками по содержанию и сохранению общего имущества</w:t>
      </w:r>
      <w:r w:rsidRPr="005E272F">
        <w:rPr>
          <w:bCs/>
          <w:lang w:val="ru-RU"/>
        </w:rPr>
        <w:t xml:space="preserve"> и имущества общего пользования</w:t>
      </w:r>
      <w:r w:rsidRPr="005E272F">
        <w:rPr>
          <w:lang w:val="ru-RU"/>
        </w:rPr>
        <w:t>;</w:t>
      </w:r>
    </w:p>
    <w:p w:rsidR="005E272F" w:rsidRPr="005E272F" w:rsidRDefault="005E272F" w:rsidP="005E272F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 w:rsidRPr="005E272F">
        <w:rPr>
          <w:b/>
          <w:lang w:val="ru-RU"/>
        </w:rPr>
        <w:t>«Сумм.»</w:t>
      </w:r>
      <w:r w:rsidRPr="005E272F">
        <w:rPr>
          <w:lang w:val="ru-RU"/>
        </w:rPr>
        <w:t xml:space="preserve"> – общая сумма запланированных затрат, финансируемых за счёт «ЧВ-1», предусмотренных приходно-расходной сметой;</w:t>
      </w:r>
    </w:p>
    <w:p w:rsidR="005E272F" w:rsidRPr="005E272F" w:rsidRDefault="005E272F" w:rsidP="005E272F">
      <w:pPr>
        <w:shd w:val="clear" w:color="auto" w:fill="FFFFFF"/>
        <w:tabs>
          <w:tab w:val="left" w:pos="0"/>
        </w:tabs>
        <w:ind w:firstLine="567"/>
        <w:jc w:val="both"/>
        <w:rPr>
          <w:lang w:val="ru-RU"/>
        </w:rPr>
      </w:pPr>
      <w:r w:rsidRPr="005E272F">
        <w:rPr>
          <w:b/>
          <w:lang w:val="ru-RU"/>
        </w:rPr>
        <w:t>«Уч.»</w:t>
      </w:r>
      <w:r w:rsidRPr="005E272F">
        <w:rPr>
          <w:lang w:val="ru-RU"/>
        </w:rPr>
        <w:t xml:space="preserve"> – общее количество садовых земельных участков с индивидуальными кадастровыми номерами в границах территории </w:t>
      </w:r>
      <w:r w:rsidR="00F05015">
        <w:rPr>
          <w:lang w:val="ru-RU"/>
        </w:rPr>
        <w:t>СНТ</w:t>
      </w:r>
      <w:r w:rsidRPr="005E272F">
        <w:rPr>
          <w:lang w:val="ru-RU"/>
        </w:rPr>
        <w:t>, за исключением земельных участков общего назначения.</w:t>
      </w:r>
    </w:p>
    <w:p w:rsidR="00EC334C" w:rsidRDefault="00EC334C" w:rsidP="00EC334C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257">
        <w:rPr>
          <w:rFonts w:ascii="Times New Roman" w:hAnsi="Times New Roman" w:cs="Times New Roman"/>
          <w:bCs/>
          <w:sz w:val="24"/>
          <w:szCs w:val="24"/>
        </w:rPr>
        <w:t xml:space="preserve">Взносы </w:t>
      </w:r>
      <w:r w:rsidR="009B3257">
        <w:rPr>
          <w:rFonts w:ascii="Times New Roman" w:hAnsi="Times New Roman" w:cs="Times New Roman"/>
          <w:bCs/>
          <w:sz w:val="24"/>
          <w:szCs w:val="24"/>
        </w:rPr>
        <w:t>согласно показателю «</w:t>
      </w:r>
      <w:r w:rsidRPr="009B3257">
        <w:rPr>
          <w:sz w:val="24"/>
          <w:szCs w:val="24"/>
        </w:rPr>
        <w:t>ЧВ-1</w:t>
      </w:r>
      <w:r w:rsidR="009B3257">
        <w:rPr>
          <w:sz w:val="24"/>
          <w:szCs w:val="24"/>
        </w:rPr>
        <w:t>»</w:t>
      </w:r>
      <w:r w:rsidRPr="009B3257">
        <w:rPr>
          <w:sz w:val="24"/>
          <w:szCs w:val="24"/>
        </w:rPr>
        <w:t xml:space="preserve"> </w:t>
      </w:r>
      <w:r w:rsidR="009B3257" w:rsidRPr="009B3257">
        <w:rPr>
          <w:bCs/>
          <w:sz w:val="24"/>
          <w:szCs w:val="24"/>
        </w:rPr>
        <w:t>р</w:t>
      </w:r>
      <w:r w:rsidRPr="009B3257">
        <w:rPr>
          <w:rFonts w:ascii="Times New Roman" w:hAnsi="Times New Roman" w:cs="Times New Roman"/>
          <w:sz w:val="24"/>
          <w:szCs w:val="24"/>
        </w:rPr>
        <w:t>ассчитываются</w:t>
      </w:r>
      <w:r w:rsidRPr="005D58CC">
        <w:rPr>
          <w:rFonts w:ascii="Times New Roman" w:hAnsi="Times New Roman" w:cs="Times New Roman"/>
          <w:sz w:val="24"/>
          <w:szCs w:val="24"/>
        </w:rPr>
        <w:t xml:space="preserve"> поровну на все </w:t>
      </w:r>
      <w:r>
        <w:rPr>
          <w:rFonts w:ascii="Times New Roman" w:hAnsi="Times New Roman" w:cs="Times New Roman"/>
          <w:sz w:val="24"/>
          <w:szCs w:val="24"/>
        </w:rPr>
        <w:t>участки</w:t>
      </w:r>
      <w:r w:rsidRPr="005D58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индивидуальные кадастровые номера</w:t>
      </w:r>
      <w:r w:rsidRPr="005D58CC">
        <w:rPr>
          <w:rFonts w:ascii="Times New Roman" w:hAnsi="Times New Roman" w:cs="Times New Roman"/>
          <w:sz w:val="24"/>
          <w:szCs w:val="24"/>
        </w:rPr>
        <w:t>. Все собственники солидарно участвуют в следующих расходах:</w:t>
      </w:r>
    </w:p>
    <w:p w:rsidR="00EC334C" w:rsidRDefault="00EC334C" w:rsidP="00EC334C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Фонд Оплаты Труда (ФОТ) 2024</w:t>
      </w:r>
      <w:r w:rsidR="00B663D5">
        <w:rPr>
          <w:rFonts w:ascii="Times New Roman" w:hAnsi="Times New Roman" w:cs="Times New Roman"/>
          <w:sz w:val="24"/>
          <w:szCs w:val="24"/>
        </w:rPr>
        <w:t xml:space="preserve"> и 2025</w:t>
      </w:r>
      <w:r w:rsidRPr="005D58C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- в соответствии со </w:t>
      </w:r>
      <w:r w:rsidRPr="005D58CC">
        <w:rPr>
          <w:rFonts w:ascii="Times New Roman" w:hAnsi="Times New Roman" w:cs="Times New Roman"/>
          <w:sz w:val="24"/>
          <w:szCs w:val="24"/>
        </w:rPr>
        <w:t>штатн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5D58CC">
        <w:rPr>
          <w:rFonts w:ascii="Times New Roman" w:hAnsi="Times New Roman" w:cs="Times New Roman"/>
          <w:sz w:val="24"/>
          <w:szCs w:val="24"/>
        </w:rPr>
        <w:t xml:space="preserve"> расписание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D58CC">
        <w:rPr>
          <w:rFonts w:ascii="Times New Roman" w:hAnsi="Times New Roman" w:cs="Times New Roman"/>
          <w:sz w:val="24"/>
          <w:szCs w:val="24"/>
        </w:rPr>
        <w:t>, включая налоги и страховые взносы на ФОТ</w:t>
      </w:r>
      <w:r w:rsidRPr="005D58CC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(</w:t>
      </w:r>
      <w:r w:rsidRPr="0050496C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и</w:t>
      </w:r>
      <w:r w:rsidRPr="0050496C">
        <w:rPr>
          <w:rFonts w:ascii="Times New Roman" w:hAnsi="Times New Roman" w:cs="Times New Roman"/>
          <w:b/>
          <w:i/>
          <w:sz w:val="24"/>
          <w:szCs w:val="24"/>
        </w:rPr>
        <w:t>ндексация окладов в 202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663D5">
        <w:rPr>
          <w:rFonts w:ascii="Times New Roman" w:hAnsi="Times New Roman" w:cs="Times New Roman"/>
          <w:b/>
          <w:i/>
          <w:sz w:val="24"/>
          <w:szCs w:val="24"/>
        </w:rPr>
        <w:t xml:space="preserve"> и 2025</w:t>
      </w:r>
      <w:r w:rsidRPr="0050496C">
        <w:rPr>
          <w:rFonts w:ascii="Times New Roman" w:hAnsi="Times New Roman" w:cs="Times New Roman"/>
          <w:b/>
          <w:i/>
          <w:sz w:val="24"/>
          <w:szCs w:val="24"/>
        </w:rPr>
        <w:t xml:space="preserve"> году не проводится</w:t>
      </w:r>
      <w:r w:rsidRPr="005D58CC">
        <w:rPr>
          <w:rFonts w:ascii="Times New Roman" w:hAnsi="Times New Roman" w:cs="Times New Roman"/>
          <w:sz w:val="24"/>
          <w:szCs w:val="24"/>
        </w:rPr>
        <w:t>)</w:t>
      </w:r>
      <w:r w:rsidR="006335F4">
        <w:rPr>
          <w:rFonts w:ascii="Times New Roman" w:hAnsi="Times New Roman" w:cs="Times New Roman"/>
          <w:sz w:val="24"/>
          <w:szCs w:val="24"/>
        </w:rPr>
        <w:t>.</w:t>
      </w:r>
    </w:p>
    <w:p w:rsidR="00EC334C" w:rsidRDefault="00034C9F" w:rsidP="00EC334C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8CC">
        <w:rPr>
          <w:rFonts w:ascii="Times New Roman" w:hAnsi="Times New Roman" w:cs="Times New Roman"/>
          <w:sz w:val="24"/>
          <w:szCs w:val="24"/>
        </w:rPr>
        <w:t>–</w:t>
      </w:r>
      <w:r w:rsidR="00EC334C">
        <w:rPr>
          <w:rFonts w:ascii="Times New Roman" w:hAnsi="Times New Roman" w:cs="Times New Roman"/>
          <w:sz w:val="24"/>
          <w:szCs w:val="24"/>
        </w:rPr>
        <w:t xml:space="preserve"> В</w:t>
      </w:r>
      <w:r w:rsidR="00EC334C" w:rsidRPr="005D58CC">
        <w:rPr>
          <w:rFonts w:ascii="Times New Roman" w:hAnsi="Times New Roman" w:cs="Times New Roman"/>
          <w:sz w:val="24"/>
          <w:szCs w:val="24"/>
        </w:rPr>
        <w:t>ывоз мусора</w:t>
      </w:r>
      <w:r w:rsidR="00EC334C">
        <w:rPr>
          <w:rFonts w:ascii="Times New Roman" w:hAnsi="Times New Roman" w:cs="Times New Roman"/>
          <w:sz w:val="24"/>
          <w:szCs w:val="24"/>
        </w:rPr>
        <w:t xml:space="preserve"> - заложенная в бюджет 2024</w:t>
      </w:r>
      <w:r w:rsidR="00B663D5">
        <w:rPr>
          <w:rFonts w:ascii="Times New Roman" w:hAnsi="Times New Roman" w:cs="Times New Roman"/>
          <w:sz w:val="24"/>
          <w:szCs w:val="24"/>
        </w:rPr>
        <w:t xml:space="preserve"> и 2025</w:t>
      </w:r>
      <w:r w:rsidR="00EC334C">
        <w:rPr>
          <w:rFonts w:ascii="Times New Roman" w:hAnsi="Times New Roman" w:cs="Times New Roman"/>
          <w:sz w:val="24"/>
          <w:szCs w:val="24"/>
        </w:rPr>
        <w:t xml:space="preserve"> года сумма составляет сумму фактических затрат СНТ в 2023 году, с учётом индексации тарифа на 10%</w:t>
      </w:r>
      <w:r w:rsidR="006335F4">
        <w:rPr>
          <w:rFonts w:ascii="Times New Roman" w:hAnsi="Times New Roman" w:cs="Times New Roman"/>
          <w:sz w:val="24"/>
          <w:szCs w:val="24"/>
        </w:rPr>
        <w:t>.</w:t>
      </w:r>
    </w:p>
    <w:p w:rsidR="00EC334C" w:rsidRDefault="00EC334C" w:rsidP="00EC334C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8CC">
        <w:rPr>
          <w:rFonts w:ascii="Times New Roman" w:hAnsi="Times New Roman" w:cs="Times New Roman"/>
          <w:sz w:val="24"/>
          <w:szCs w:val="24"/>
        </w:rPr>
        <w:t xml:space="preserve">– Административно-хозяйственные расходы: услуги банка, включая комиссии, платформа СНТ-ИТ для сайта СНТ, бухгалтерия 1С </w:t>
      </w:r>
      <w:r w:rsidRPr="005D58CC">
        <w:rPr>
          <w:rFonts w:ascii="Times New Roman" w:hAnsi="Times New Roman" w:cs="Times New Roman"/>
          <w:sz w:val="24"/>
          <w:szCs w:val="24"/>
          <w:lang w:val="en-US"/>
        </w:rPr>
        <w:t>SCLOUD</w:t>
      </w:r>
      <w:r w:rsidRPr="005D58CC">
        <w:rPr>
          <w:rFonts w:ascii="Times New Roman" w:hAnsi="Times New Roman" w:cs="Times New Roman"/>
          <w:sz w:val="24"/>
          <w:szCs w:val="24"/>
        </w:rPr>
        <w:t>, услуги электронного документооборота с ИФНС (</w:t>
      </w:r>
      <w:proofErr w:type="spellStart"/>
      <w:r w:rsidRPr="005D58CC">
        <w:rPr>
          <w:rFonts w:ascii="Times New Roman" w:hAnsi="Times New Roman" w:cs="Times New Roman"/>
          <w:sz w:val="24"/>
          <w:szCs w:val="24"/>
        </w:rPr>
        <w:t>Такском</w:t>
      </w:r>
      <w:proofErr w:type="spellEnd"/>
      <w:r w:rsidRPr="005D58CC">
        <w:rPr>
          <w:rFonts w:ascii="Times New Roman" w:hAnsi="Times New Roman" w:cs="Times New Roman"/>
          <w:sz w:val="24"/>
          <w:szCs w:val="24"/>
        </w:rPr>
        <w:t>), интернет в сторожке, мобильная связь, канцтовары (ручки, бумага, картриджи), расходы на организацию ежегодного общего собрания, аренда абонентского почтового ящика; расходы на услуги связи, почтовые расходы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компенсация годовой оплаты доступа к своим участкам собственников 4 и 5 линии</w:t>
      </w:r>
      <w:r w:rsidR="006335F4">
        <w:rPr>
          <w:rFonts w:ascii="Times New Roman" w:hAnsi="Times New Roman" w:cs="Times New Roman"/>
          <w:sz w:val="24"/>
          <w:szCs w:val="24"/>
        </w:rPr>
        <w:t>.</w:t>
      </w:r>
      <w:r w:rsidRPr="005D5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Расходы по данным статьям предлагается оставить на уровне 2023</w:t>
      </w:r>
      <w:r w:rsidR="0063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335F4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C9F" w:rsidRPr="005D58CC" w:rsidRDefault="00034C9F" w:rsidP="00034C9F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8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8CC">
        <w:rPr>
          <w:rFonts w:ascii="Times New Roman" w:hAnsi="Times New Roman" w:cs="Times New Roman"/>
          <w:sz w:val="24"/>
          <w:szCs w:val="24"/>
        </w:rPr>
        <w:t xml:space="preserve">В соответствии с п. 10 разъяснений Минэкономразвития РФ от «01» апреля 2019 года: «При этом полагаем целесообразным в приходно-расходную смету также закладывать необходимые </w:t>
      </w:r>
      <w:r w:rsidRPr="00637261">
        <w:rPr>
          <w:rFonts w:ascii="Times New Roman" w:hAnsi="Times New Roman" w:cs="Times New Roman"/>
          <w:sz w:val="24"/>
          <w:szCs w:val="24"/>
        </w:rPr>
        <w:t xml:space="preserve">суммы на ремонт имущества общего пользования, в том числе в случае </w:t>
      </w:r>
      <w:r w:rsidRPr="00637261">
        <w:rPr>
          <w:rFonts w:ascii="Times New Roman" w:hAnsi="Times New Roman" w:cs="Times New Roman"/>
          <w:sz w:val="24"/>
          <w:szCs w:val="24"/>
        </w:rPr>
        <w:lastRenderedPageBreak/>
        <w:t>экстренных аварийных ситуаций (прорыв трубы, обрыв линии электропередач).</w:t>
      </w:r>
      <w:r w:rsidRPr="005D58CC">
        <w:rPr>
          <w:rFonts w:ascii="Times New Roman" w:hAnsi="Times New Roman" w:cs="Times New Roman"/>
          <w:sz w:val="24"/>
          <w:szCs w:val="24"/>
        </w:rPr>
        <w:t xml:space="preserve"> Это позволит в случае наступления такого события экстренно не проводить внеочередное собрание членов товарищества, а осуществить немедленный р</w:t>
      </w:r>
      <w:r>
        <w:rPr>
          <w:rFonts w:ascii="Times New Roman" w:hAnsi="Times New Roman" w:cs="Times New Roman"/>
          <w:sz w:val="24"/>
          <w:szCs w:val="24"/>
        </w:rPr>
        <w:t>емонт за счёт членских взносов.</w:t>
      </w:r>
      <w:r w:rsidRPr="005D5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C9F" w:rsidRPr="00E10557" w:rsidRDefault="00034C9F" w:rsidP="00034C9F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8CC">
        <w:rPr>
          <w:rFonts w:ascii="Times New Roman" w:hAnsi="Times New Roman" w:cs="Times New Roman"/>
          <w:sz w:val="24"/>
          <w:szCs w:val="24"/>
        </w:rPr>
        <w:t>Собранием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58CC">
        <w:rPr>
          <w:rFonts w:ascii="Times New Roman" w:hAnsi="Times New Roman" w:cs="Times New Roman"/>
          <w:sz w:val="24"/>
          <w:szCs w:val="24"/>
        </w:rPr>
        <w:t xml:space="preserve"> году установлен размер резервного фонда</w:t>
      </w:r>
      <w:r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5D58CC">
        <w:rPr>
          <w:rFonts w:ascii="Times New Roman" w:hAnsi="Times New Roman" w:cs="Times New Roman"/>
          <w:sz w:val="24"/>
          <w:szCs w:val="24"/>
        </w:rPr>
        <w:t xml:space="preserve"> год в размере 60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58CC">
        <w:rPr>
          <w:rFonts w:ascii="Times New Roman" w:hAnsi="Times New Roman" w:cs="Times New Roman"/>
          <w:sz w:val="24"/>
          <w:szCs w:val="24"/>
        </w:rPr>
        <w:t>000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58CC">
        <w:rPr>
          <w:rFonts w:ascii="Times New Roman" w:hAnsi="Times New Roman" w:cs="Times New Roman"/>
          <w:sz w:val="24"/>
          <w:szCs w:val="24"/>
        </w:rPr>
        <w:t xml:space="preserve"> </w:t>
      </w:r>
      <w:r w:rsidR="00B663D5">
        <w:rPr>
          <w:rFonts w:ascii="Times New Roman" w:hAnsi="Times New Roman" w:cs="Times New Roman"/>
          <w:sz w:val="24"/>
          <w:szCs w:val="24"/>
        </w:rPr>
        <w:t>Данная сумма аккумулируется</w:t>
      </w:r>
      <w:r>
        <w:rPr>
          <w:rFonts w:ascii="Times New Roman" w:hAnsi="Times New Roman" w:cs="Times New Roman"/>
          <w:sz w:val="24"/>
          <w:szCs w:val="24"/>
        </w:rPr>
        <w:t xml:space="preserve"> на расчётном счёте СНТ. Однако</w:t>
      </w:r>
      <w:r w:rsidR="009B3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связи с повсеместным удорожанием товаров и услуг, п</w:t>
      </w:r>
      <w:r w:rsidRPr="005D58CC">
        <w:rPr>
          <w:rFonts w:ascii="Times New Roman" w:hAnsi="Times New Roman" w:cs="Times New Roman"/>
          <w:sz w:val="24"/>
          <w:szCs w:val="24"/>
        </w:rPr>
        <w:t>редлагается</w:t>
      </w:r>
      <w:r w:rsidR="009B3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2024</w:t>
      </w:r>
      <w:r w:rsidR="00B663D5">
        <w:rPr>
          <w:rFonts w:ascii="Times New Roman" w:hAnsi="Times New Roman" w:cs="Times New Roman"/>
          <w:sz w:val="24"/>
          <w:szCs w:val="24"/>
        </w:rPr>
        <w:t xml:space="preserve"> и 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5D58CC">
        <w:rPr>
          <w:rFonts w:ascii="Times New Roman" w:hAnsi="Times New Roman" w:cs="Times New Roman"/>
          <w:sz w:val="24"/>
          <w:szCs w:val="24"/>
        </w:rPr>
        <w:t xml:space="preserve"> установить </w:t>
      </w:r>
      <w:r w:rsidR="009B3257">
        <w:rPr>
          <w:rFonts w:ascii="Times New Roman" w:hAnsi="Times New Roman" w:cs="Times New Roman"/>
          <w:sz w:val="24"/>
          <w:szCs w:val="24"/>
        </w:rPr>
        <w:t>дополнительную</w:t>
      </w:r>
      <w:r w:rsidRPr="005D58CC">
        <w:rPr>
          <w:rFonts w:ascii="Times New Roman" w:hAnsi="Times New Roman" w:cs="Times New Roman"/>
          <w:sz w:val="24"/>
          <w:szCs w:val="24"/>
        </w:rPr>
        <w:t xml:space="preserve"> сумму резервного фонда в разм</w:t>
      </w:r>
      <w:r w:rsidR="009B3257">
        <w:rPr>
          <w:rFonts w:ascii="Times New Roman" w:hAnsi="Times New Roman" w:cs="Times New Roman"/>
          <w:sz w:val="24"/>
          <w:szCs w:val="24"/>
        </w:rPr>
        <w:t>ере 60 000</w:t>
      </w:r>
      <w:r w:rsidRPr="005D58CC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 Таким образом, общая сумма резервного фонда составит 120 000 рублей</w:t>
      </w:r>
      <w:r w:rsidRPr="005D58CC">
        <w:rPr>
          <w:rFonts w:ascii="Times New Roman" w:hAnsi="Times New Roman" w:cs="Times New Roman"/>
          <w:sz w:val="24"/>
          <w:szCs w:val="24"/>
        </w:rPr>
        <w:t xml:space="preserve">. Данная </w:t>
      </w:r>
      <w:r w:rsidR="009B3257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Pr="005D58CC">
        <w:rPr>
          <w:rFonts w:ascii="Times New Roman" w:hAnsi="Times New Roman" w:cs="Times New Roman"/>
          <w:sz w:val="24"/>
          <w:szCs w:val="24"/>
        </w:rPr>
        <w:t xml:space="preserve">сумма вносится </w:t>
      </w:r>
      <w:r w:rsidR="008718FB" w:rsidRPr="005D58CC">
        <w:rPr>
          <w:rFonts w:ascii="Times New Roman" w:hAnsi="Times New Roman" w:cs="Times New Roman"/>
          <w:sz w:val="24"/>
          <w:szCs w:val="24"/>
        </w:rPr>
        <w:t>едино разово</w:t>
      </w:r>
      <w:r w:rsidRPr="005D58CC">
        <w:rPr>
          <w:rFonts w:ascii="Times New Roman" w:hAnsi="Times New Roman" w:cs="Times New Roman"/>
          <w:sz w:val="24"/>
          <w:szCs w:val="24"/>
        </w:rPr>
        <w:t xml:space="preserve"> и, при отсутствии экстренных аварийных ситуаций, не расходуется, если иное не будет определено общим собранием.</w:t>
      </w:r>
    </w:p>
    <w:p w:rsidR="00034C9F" w:rsidRDefault="00034C9F" w:rsidP="00034C9F">
      <w:pPr>
        <w:pStyle w:val="Body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9D4">
        <w:rPr>
          <w:rFonts w:ascii="Times New Roman" w:hAnsi="Times New Roman" w:cs="Times New Roman"/>
          <w:color w:val="auto"/>
          <w:sz w:val="24"/>
          <w:szCs w:val="24"/>
        </w:rPr>
        <w:t>В случае необходимости экстренного ремонта за счёт СНТ, данная сумма будет направляться как раз из резервного фонда.</w:t>
      </w:r>
    </w:p>
    <w:p w:rsidR="00034C9F" w:rsidRDefault="00034C9F" w:rsidP="00034C9F">
      <w:pPr>
        <w:pStyle w:val="Body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46ADB" w:rsidRDefault="00546ADB" w:rsidP="00931426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D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В силу ч. 3 ст. 5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Федерального</w:t>
      </w:r>
      <w:r w:rsidRPr="00546AD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а</w:t>
      </w:r>
      <w:r w:rsidRPr="00546AD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(далее – «Закон») </w:t>
      </w:r>
      <w:r w:rsidRPr="00546AD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правила расчёта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членского </w:t>
      </w:r>
      <w:r w:rsidRPr="00546AD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взноса применяются для расчёта платы лиц, указанных в ч. 1 ст. 5 Закона (лиц, имеющих в границах Товарищества земельные участки, но не являющихся членами Товарищества.</w:t>
      </w:r>
    </w:p>
    <w:p w:rsidR="00FD61D5" w:rsidRDefault="00FD61D5" w:rsidP="00AE2D0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8718FB" w:rsidRPr="00034C9F" w:rsidRDefault="008718FB" w:rsidP="008718FB">
      <w:pPr>
        <w:ind w:firstLine="567"/>
        <w:jc w:val="both"/>
        <w:rPr>
          <w:color w:val="000000"/>
          <w:lang w:val="ru-RU" w:eastAsia="ru-RU"/>
        </w:rPr>
      </w:pPr>
      <w:proofErr w:type="gramStart"/>
      <w:r w:rsidRPr="00034C9F">
        <w:rPr>
          <w:color w:val="000000"/>
          <w:lang w:val="ru-RU" w:eastAsia="ru-RU"/>
        </w:rPr>
        <w:t xml:space="preserve">В связи с тем, наше товарищество физически не </w:t>
      </w:r>
      <w:r>
        <w:rPr>
          <w:color w:val="000000"/>
          <w:lang w:val="ru-RU" w:eastAsia="ru-RU"/>
        </w:rPr>
        <w:t>может</w:t>
      </w:r>
      <w:r w:rsidRPr="00034C9F">
        <w:rPr>
          <w:color w:val="000000"/>
          <w:lang w:val="ru-RU" w:eastAsia="ru-RU"/>
        </w:rPr>
        <w:t xml:space="preserve"> обеспечить доступ по своим землям,</w:t>
      </w:r>
      <w:r>
        <w:rPr>
          <w:color w:val="000000"/>
          <w:lang w:val="ru-RU" w:eastAsia="ru-RU"/>
        </w:rPr>
        <w:t xml:space="preserve"> к участкам на 4 и 5 лин</w:t>
      </w:r>
      <w:r w:rsidR="002B32D3">
        <w:rPr>
          <w:color w:val="000000"/>
          <w:lang w:val="ru-RU" w:eastAsia="ru-RU"/>
        </w:rPr>
        <w:t>и</w:t>
      </w:r>
      <w:r>
        <w:rPr>
          <w:color w:val="000000"/>
          <w:lang w:val="ru-RU" w:eastAsia="ru-RU"/>
        </w:rPr>
        <w:t xml:space="preserve">и, и собственникам данных земельных участков приходится нести дополнительные </w:t>
      </w:r>
      <w:r w:rsidRPr="00034C9F">
        <w:rPr>
          <w:color w:val="000000"/>
          <w:lang w:val="ru-RU" w:eastAsia="ru-RU"/>
        </w:rPr>
        <w:t xml:space="preserve">затраты </w:t>
      </w:r>
      <w:r>
        <w:rPr>
          <w:color w:val="000000"/>
          <w:lang w:val="ru-RU" w:eastAsia="ru-RU"/>
        </w:rPr>
        <w:t xml:space="preserve">для обеспечения такого </w:t>
      </w:r>
      <w:r w:rsidRPr="00034C9F">
        <w:rPr>
          <w:color w:val="000000"/>
          <w:lang w:val="ru-RU" w:eastAsia="ru-RU"/>
        </w:rPr>
        <w:t>доступа, предлагается утвердить размер льготы по внесению членских взносов на 2024 год в размере 5</w:t>
      </w:r>
      <w:r w:rsidRPr="00034C9F">
        <w:rPr>
          <w:color w:val="000000"/>
          <w:lang w:eastAsia="ru-RU"/>
        </w:rPr>
        <w:t> </w:t>
      </w:r>
      <w:r w:rsidRPr="00034C9F">
        <w:rPr>
          <w:color w:val="000000"/>
          <w:lang w:val="ru-RU" w:eastAsia="ru-RU"/>
        </w:rPr>
        <w:t xml:space="preserve">000 рублей </w:t>
      </w:r>
      <w:r>
        <w:rPr>
          <w:color w:val="000000"/>
          <w:lang w:val="ru-RU" w:eastAsia="ru-RU"/>
        </w:rPr>
        <w:t>для каждого участка</w:t>
      </w:r>
      <w:r w:rsidRPr="00034C9F">
        <w:rPr>
          <w:color w:val="000000"/>
          <w:lang w:val="ru-RU" w:eastAsia="ru-RU"/>
        </w:rPr>
        <w:t xml:space="preserve"> расположенный на 4 и 5 линии.</w:t>
      </w:r>
      <w:proofErr w:type="gramEnd"/>
    </w:p>
    <w:p w:rsidR="00922A67" w:rsidRDefault="00922A67" w:rsidP="00034C9F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63D5" w:rsidRDefault="00B663D5" w:rsidP="00B663D5">
      <w:pPr>
        <w:pStyle w:val="Body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8CC">
        <w:rPr>
          <w:rFonts w:ascii="Times New Roman" w:hAnsi="Times New Roman" w:cs="Times New Roman"/>
          <w:b/>
          <w:bCs/>
          <w:sz w:val="24"/>
          <w:szCs w:val="24"/>
        </w:rPr>
        <w:t xml:space="preserve">Оплата взносов и исполнение Сметы </w:t>
      </w:r>
    </w:p>
    <w:p w:rsidR="007B4F97" w:rsidRPr="007B4F97" w:rsidRDefault="007B4F97" w:rsidP="00B663D5">
      <w:pPr>
        <w:pStyle w:val="Body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F97">
        <w:rPr>
          <w:rFonts w:ascii="Times New Roman" w:hAnsi="Times New Roman" w:cs="Times New Roman"/>
          <w:bCs/>
          <w:sz w:val="24"/>
          <w:szCs w:val="24"/>
        </w:rPr>
        <w:t>Размер ежегодного членского взноса на 2025 год, устанавливается на условиях сметы.</w:t>
      </w:r>
    </w:p>
    <w:p w:rsidR="00B663D5" w:rsidRDefault="007B4F97" w:rsidP="00B663D5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Устанавливается</w:t>
      </w:r>
      <w:r w:rsidR="00B663D5">
        <w:rPr>
          <w:rFonts w:ascii="Times New Roman" w:hAnsi="Times New Roman" w:cs="Times New Roman"/>
          <w:sz w:val="24"/>
          <w:szCs w:val="24"/>
        </w:rPr>
        <w:t xml:space="preserve"> срок оплаты, взносов членами СНТ и плату</w:t>
      </w:r>
      <w:r w:rsidR="00B663D5" w:rsidRPr="005D58CC">
        <w:rPr>
          <w:rFonts w:ascii="Times New Roman" w:hAnsi="Times New Roman" w:cs="Times New Roman"/>
          <w:sz w:val="24"/>
          <w:szCs w:val="24"/>
        </w:rPr>
        <w:t xml:space="preserve"> для лиц, не вступивших в состав членов СНТ</w:t>
      </w:r>
      <w:r w:rsidR="00B663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63D5" w:rsidRDefault="00B663D5" w:rsidP="00B663D5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 год</w:t>
      </w:r>
      <w:r w:rsidRPr="005D58CC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58C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5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5D5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5D58C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663D5" w:rsidRPr="005D58CC" w:rsidRDefault="00B663D5" w:rsidP="00B663D5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2025 год</w:t>
      </w:r>
      <w:r w:rsidRPr="005D58CC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>«31»</w:t>
      </w:r>
      <w:r w:rsidRPr="005D5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5D5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5D58CC">
        <w:rPr>
          <w:rFonts w:ascii="Times New Roman" w:hAnsi="Times New Roman" w:cs="Times New Roman"/>
          <w:sz w:val="24"/>
          <w:szCs w:val="24"/>
        </w:rPr>
        <w:t xml:space="preserve"> года.</w:t>
      </w:r>
      <w:bookmarkStart w:id="0" w:name="_GoBack"/>
      <w:bookmarkEnd w:id="0"/>
    </w:p>
    <w:p w:rsidR="00801305" w:rsidRPr="005D58CC" w:rsidRDefault="00801305" w:rsidP="008E5F0C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7EC" w:rsidRDefault="006335F4" w:rsidP="008E5F0C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</w:t>
      </w:r>
      <w:r w:rsidR="00801305" w:rsidRPr="005D58CC">
        <w:rPr>
          <w:rFonts w:ascii="Times New Roman" w:hAnsi="Times New Roman" w:cs="Times New Roman"/>
          <w:sz w:val="24"/>
          <w:szCs w:val="24"/>
        </w:rPr>
        <w:t xml:space="preserve">, что СНТ не оказывает услуги собственникам участков, а является лишь организатором коллективного управления совместной (общей) собственностью (подобием управляющей компании в ЖКХ). Поздняя оплата взносов приводит к накоплению долгов СНТ перед сторонними организациями (как, например, каждый год имеем большой долг по оплате за электроэнергию). Поздняя оплата взносов также </w:t>
      </w:r>
      <w:r w:rsidR="00B47FD7">
        <w:rPr>
          <w:rFonts w:ascii="Times New Roman" w:hAnsi="Times New Roman" w:cs="Times New Roman"/>
          <w:sz w:val="24"/>
          <w:szCs w:val="24"/>
        </w:rPr>
        <w:t>может привести</w:t>
      </w:r>
      <w:r w:rsidR="00801305" w:rsidRPr="005D58CC">
        <w:rPr>
          <w:rFonts w:ascii="Times New Roman" w:hAnsi="Times New Roman" w:cs="Times New Roman"/>
          <w:sz w:val="24"/>
          <w:szCs w:val="24"/>
        </w:rPr>
        <w:t xml:space="preserve"> к невозможности </w:t>
      </w:r>
      <w:r w:rsidR="00BC1F7C">
        <w:rPr>
          <w:rFonts w:ascii="Times New Roman" w:hAnsi="Times New Roman" w:cs="Times New Roman"/>
          <w:sz w:val="24"/>
          <w:szCs w:val="24"/>
        </w:rPr>
        <w:t xml:space="preserve">своевременного </w:t>
      </w:r>
      <w:r w:rsidR="00801305" w:rsidRPr="005D58CC">
        <w:rPr>
          <w:rFonts w:ascii="Times New Roman" w:hAnsi="Times New Roman" w:cs="Times New Roman"/>
          <w:sz w:val="24"/>
          <w:szCs w:val="24"/>
        </w:rPr>
        <w:t>исполнения работ, запланированных по смете.</w:t>
      </w:r>
    </w:p>
    <w:p w:rsidR="00AB17A8" w:rsidRPr="00BC1F7C" w:rsidRDefault="00AB17A8" w:rsidP="00BC1F7C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B40" w:rsidRDefault="00502B40" w:rsidP="00BC1F7C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B11A03" w:rsidRPr="00546ADB" w:rsidRDefault="00A63B96" w:rsidP="001A02C8">
      <w:pPr>
        <w:pStyle w:val="Body"/>
        <w:ind w:firstLine="567"/>
        <w:jc w:val="both"/>
      </w:pPr>
      <w:r w:rsidRPr="00BC1F7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47FD7">
        <w:rPr>
          <w:rFonts w:ascii="Times New Roman" w:hAnsi="Times New Roman" w:cs="Times New Roman"/>
          <w:sz w:val="24"/>
          <w:szCs w:val="24"/>
        </w:rPr>
        <w:t>СНТ «</w:t>
      </w:r>
      <w:r w:rsidRPr="00BC1F7C">
        <w:rPr>
          <w:rFonts w:ascii="Times New Roman" w:hAnsi="Times New Roman" w:cs="Times New Roman"/>
          <w:sz w:val="24"/>
          <w:szCs w:val="24"/>
        </w:rPr>
        <w:t>Возрождение</w:t>
      </w:r>
      <w:r w:rsidR="00B47FD7">
        <w:rPr>
          <w:rFonts w:ascii="Times New Roman" w:hAnsi="Times New Roman" w:cs="Times New Roman"/>
          <w:sz w:val="24"/>
          <w:szCs w:val="24"/>
        </w:rPr>
        <w:t>»</w:t>
      </w:r>
      <w:r w:rsidR="00B47FD7">
        <w:rPr>
          <w:rFonts w:ascii="Times New Roman" w:hAnsi="Times New Roman" w:cs="Times New Roman"/>
          <w:sz w:val="24"/>
          <w:szCs w:val="24"/>
        </w:rPr>
        <w:tab/>
      </w:r>
      <w:r w:rsidR="00B47FD7">
        <w:rPr>
          <w:rFonts w:ascii="Times New Roman" w:hAnsi="Times New Roman" w:cs="Times New Roman"/>
          <w:sz w:val="24"/>
          <w:szCs w:val="24"/>
        </w:rPr>
        <w:tab/>
      </w:r>
      <w:r w:rsidR="00B47FD7">
        <w:rPr>
          <w:rFonts w:ascii="Times New Roman" w:hAnsi="Times New Roman" w:cs="Times New Roman"/>
          <w:sz w:val="24"/>
          <w:szCs w:val="24"/>
        </w:rPr>
        <w:tab/>
      </w:r>
      <w:r w:rsidR="00B47FD7">
        <w:rPr>
          <w:rFonts w:ascii="Times New Roman" w:hAnsi="Times New Roman" w:cs="Times New Roman"/>
          <w:sz w:val="24"/>
          <w:szCs w:val="24"/>
        </w:rPr>
        <w:tab/>
      </w:r>
      <w:r w:rsidR="00B47FD7">
        <w:rPr>
          <w:rFonts w:ascii="Times New Roman" w:hAnsi="Times New Roman" w:cs="Times New Roman"/>
          <w:sz w:val="24"/>
          <w:szCs w:val="24"/>
        </w:rPr>
        <w:tab/>
      </w:r>
      <w:r w:rsidR="00B47FD7">
        <w:rPr>
          <w:rFonts w:ascii="Times New Roman" w:hAnsi="Times New Roman" w:cs="Times New Roman"/>
          <w:sz w:val="24"/>
          <w:szCs w:val="24"/>
        </w:rPr>
        <w:tab/>
        <w:t>Роман Гордеев</w:t>
      </w:r>
    </w:p>
    <w:sectPr w:rsidR="00B11A03" w:rsidRPr="00546ADB" w:rsidSect="009406C6">
      <w:footerReference w:type="default" r:id="rId8"/>
      <w:footerReference w:type="first" r:id="rId9"/>
      <w:pgSz w:w="11906" w:h="16838"/>
      <w:pgMar w:top="709" w:right="1134" w:bottom="709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FB" w:rsidRDefault="000E32FB">
      <w:r>
        <w:separator/>
      </w:r>
    </w:p>
  </w:endnote>
  <w:endnote w:type="continuationSeparator" w:id="0">
    <w:p w:rsidR="000E32FB" w:rsidRDefault="000E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7C" w:rsidRDefault="00BC1F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7C" w:rsidRDefault="00BC1F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FB" w:rsidRDefault="000E32FB">
      <w:r>
        <w:separator/>
      </w:r>
    </w:p>
  </w:footnote>
  <w:footnote w:type="continuationSeparator" w:id="0">
    <w:p w:rsidR="000E32FB" w:rsidRDefault="000E3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16E0"/>
    <w:multiLevelType w:val="hybridMultilevel"/>
    <w:tmpl w:val="548877C4"/>
    <w:lvl w:ilvl="0" w:tplc="2362AE9E">
      <w:start w:val="535"/>
      <w:numFmt w:val="bullet"/>
      <w:lvlText w:val="–"/>
      <w:lvlJc w:val="left"/>
      <w:pPr>
        <w:ind w:left="927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0356034"/>
    <w:multiLevelType w:val="hybridMultilevel"/>
    <w:tmpl w:val="B4ACD1DC"/>
    <w:lvl w:ilvl="0" w:tplc="FCFC03A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EDD33DF"/>
    <w:multiLevelType w:val="hybridMultilevel"/>
    <w:tmpl w:val="BFD85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1096C"/>
    <w:multiLevelType w:val="hybridMultilevel"/>
    <w:tmpl w:val="E64A51CE"/>
    <w:lvl w:ilvl="0" w:tplc="9EF213F4">
      <w:start w:val="535"/>
      <w:numFmt w:val="bullet"/>
      <w:lvlText w:val="–"/>
      <w:lvlJc w:val="left"/>
      <w:pPr>
        <w:ind w:left="927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A8"/>
    <w:rsid w:val="0001457E"/>
    <w:rsid w:val="00015726"/>
    <w:rsid w:val="000258E2"/>
    <w:rsid w:val="00034C9F"/>
    <w:rsid w:val="00062655"/>
    <w:rsid w:val="000A65D9"/>
    <w:rsid w:val="000B0359"/>
    <w:rsid w:val="000E32FB"/>
    <w:rsid w:val="001305AD"/>
    <w:rsid w:val="001533E2"/>
    <w:rsid w:val="0016584B"/>
    <w:rsid w:val="00177DAB"/>
    <w:rsid w:val="001A02C8"/>
    <w:rsid w:val="001A311D"/>
    <w:rsid w:val="001A5120"/>
    <w:rsid w:val="001B2F28"/>
    <w:rsid w:val="001C10A9"/>
    <w:rsid w:val="00241F0B"/>
    <w:rsid w:val="002612BB"/>
    <w:rsid w:val="00264309"/>
    <w:rsid w:val="00272AD3"/>
    <w:rsid w:val="00292C67"/>
    <w:rsid w:val="002B32D3"/>
    <w:rsid w:val="002C19CC"/>
    <w:rsid w:val="002E59EA"/>
    <w:rsid w:val="0032792D"/>
    <w:rsid w:val="003424EC"/>
    <w:rsid w:val="003B6C56"/>
    <w:rsid w:val="003C37EC"/>
    <w:rsid w:val="003D3E96"/>
    <w:rsid w:val="003E0391"/>
    <w:rsid w:val="00433C64"/>
    <w:rsid w:val="00473E70"/>
    <w:rsid w:val="004772A4"/>
    <w:rsid w:val="004D4249"/>
    <w:rsid w:val="004D6268"/>
    <w:rsid w:val="004F34FC"/>
    <w:rsid w:val="00502B40"/>
    <w:rsid w:val="0050496C"/>
    <w:rsid w:val="00506953"/>
    <w:rsid w:val="0053243A"/>
    <w:rsid w:val="00546ADB"/>
    <w:rsid w:val="005B4B9F"/>
    <w:rsid w:val="005D58CC"/>
    <w:rsid w:val="005E272F"/>
    <w:rsid w:val="005E4B42"/>
    <w:rsid w:val="005E6501"/>
    <w:rsid w:val="005F3783"/>
    <w:rsid w:val="0060228E"/>
    <w:rsid w:val="006335F4"/>
    <w:rsid w:val="00637261"/>
    <w:rsid w:val="006602E0"/>
    <w:rsid w:val="00667F28"/>
    <w:rsid w:val="006749D4"/>
    <w:rsid w:val="006B372C"/>
    <w:rsid w:val="007062AC"/>
    <w:rsid w:val="0070670D"/>
    <w:rsid w:val="0074313B"/>
    <w:rsid w:val="00775B83"/>
    <w:rsid w:val="007975FD"/>
    <w:rsid w:val="007A2031"/>
    <w:rsid w:val="007A25EE"/>
    <w:rsid w:val="007B4F97"/>
    <w:rsid w:val="007E0B2D"/>
    <w:rsid w:val="007E266E"/>
    <w:rsid w:val="00801305"/>
    <w:rsid w:val="00843048"/>
    <w:rsid w:val="008718FB"/>
    <w:rsid w:val="008B5A2B"/>
    <w:rsid w:val="008E5F0C"/>
    <w:rsid w:val="008E7E41"/>
    <w:rsid w:val="00907B13"/>
    <w:rsid w:val="009106F5"/>
    <w:rsid w:val="00922A67"/>
    <w:rsid w:val="00931426"/>
    <w:rsid w:val="00937690"/>
    <w:rsid w:val="009406C6"/>
    <w:rsid w:val="00962653"/>
    <w:rsid w:val="009A4B18"/>
    <w:rsid w:val="009B3257"/>
    <w:rsid w:val="00A31B7C"/>
    <w:rsid w:val="00A63B96"/>
    <w:rsid w:val="00A77AC5"/>
    <w:rsid w:val="00A94193"/>
    <w:rsid w:val="00AA6351"/>
    <w:rsid w:val="00AB17A8"/>
    <w:rsid w:val="00AD16C9"/>
    <w:rsid w:val="00AE2D0B"/>
    <w:rsid w:val="00B11A03"/>
    <w:rsid w:val="00B13C07"/>
    <w:rsid w:val="00B22AD2"/>
    <w:rsid w:val="00B23916"/>
    <w:rsid w:val="00B3795D"/>
    <w:rsid w:val="00B46745"/>
    <w:rsid w:val="00B47FD7"/>
    <w:rsid w:val="00B5525B"/>
    <w:rsid w:val="00B61CAB"/>
    <w:rsid w:val="00B62BA6"/>
    <w:rsid w:val="00B663D5"/>
    <w:rsid w:val="00B75ED0"/>
    <w:rsid w:val="00B86169"/>
    <w:rsid w:val="00B96135"/>
    <w:rsid w:val="00BC1F7C"/>
    <w:rsid w:val="00C10183"/>
    <w:rsid w:val="00C252C7"/>
    <w:rsid w:val="00C31834"/>
    <w:rsid w:val="00C51E53"/>
    <w:rsid w:val="00C722DC"/>
    <w:rsid w:val="00C7758C"/>
    <w:rsid w:val="00C82365"/>
    <w:rsid w:val="00C9113D"/>
    <w:rsid w:val="00CC3829"/>
    <w:rsid w:val="00D15550"/>
    <w:rsid w:val="00D45B55"/>
    <w:rsid w:val="00D70245"/>
    <w:rsid w:val="00D7036D"/>
    <w:rsid w:val="00D95A93"/>
    <w:rsid w:val="00D95A96"/>
    <w:rsid w:val="00DB055B"/>
    <w:rsid w:val="00DB0B4F"/>
    <w:rsid w:val="00DC1E94"/>
    <w:rsid w:val="00E10557"/>
    <w:rsid w:val="00E425C7"/>
    <w:rsid w:val="00E5333C"/>
    <w:rsid w:val="00E5407B"/>
    <w:rsid w:val="00E959AF"/>
    <w:rsid w:val="00EC1CB6"/>
    <w:rsid w:val="00EC334C"/>
    <w:rsid w:val="00EF472B"/>
    <w:rsid w:val="00F05015"/>
    <w:rsid w:val="00F16D09"/>
    <w:rsid w:val="00F567DB"/>
    <w:rsid w:val="00F74F68"/>
    <w:rsid w:val="00FB10F4"/>
    <w:rsid w:val="00FC1C2D"/>
    <w:rsid w:val="00FD61D5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</w:rPr>
  </w:style>
  <w:style w:type="paragraph" w:styleId="a4">
    <w:name w:val="header"/>
    <w:basedOn w:val="a"/>
    <w:link w:val="a5"/>
    <w:uiPriority w:val="99"/>
    <w:unhideWhenUsed/>
    <w:rsid w:val="00B552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5525B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B552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5525B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722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22DC"/>
    <w:rPr>
      <w:rFonts w:ascii="Segoe UI" w:hAnsi="Segoe UI" w:cs="Segoe UI"/>
      <w:sz w:val="18"/>
      <w:szCs w:val="18"/>
      <w:lang w:val="en-US" w:eastAsia="en-US"/>
    </w:rPr>
  </w:style>
  <w:style w:type="paragraph" w:styleId="aa">
    <w:name w:val="List Paragraph"/>
    <w:basedOn w:val="a"/>
    <w:uiPriority w:val="34"/>
    <w:qFormat/>
    <w:rsid w:val="005E27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</w:rPr>
  </w:style>
  <w:style w:type="paragraph" w:styleId="a4">
    <w:name w:val="header"/>
    <w:basedOn w:val="a"/>
    <w:link w:val="a5"/>
    <w:uiPriority w:val="99"/>
    <w:unhideWhenUsed/>
    <w:rsid w:val="00B552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5525B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B552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5525B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722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22DC"/>
    <w:rPr>
      <w:rFonts w:ascii="Segoe UI" w:hAnsi="Segoe UI" w:cs="Segoe UI"/>
      <w:sz w:val="18"/>
      <w:szCs w:val="18"/>
      <w:lang w:val="en-US" w:eastAsia="en-US"/>
    </w:rPr>
  </w:style>
  <w:style w:type="paragraph" w:styleId="aa">
    <w:name w:val="List Paragraph"/>
    <w:basedOn w:val="a"/>
    <w:uiPriority w:val="34"/>
    <w:qFormat/>
    <w:rsid w:val="005E27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850</Words>
  <Characters>5002</Characters>
  <Application>Microsoft Office Word</Application>
  <DocSecurity>0</DocSecurity>
  <Lines>80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Acer</cp:lastModifiedBy>
  <cp:revision>9</cp:revision>
  <cp:lastPrinted>2021-08-12T14:05:00Z</cp:lastPrinted>
  <dcterms:created xsi:type="dcterms:W3CDTF">2023-10-24T16:20:00Z</dcterms:created>
  <dcterms:modified xsi:type="dcterms:W3CDTF">2024-06-15T18:43:00Z</dcterms:modified>
</cp:coreProperties>
</file>